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26">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7950" distR="119380" simplePos="0" locked="0" layoutInCell="0" allowOverlap="1" relativeHeight="34">
                <wp:simplePos x="0" y="0"/>
                <wp:positionH relativeFrom="column">
                  <wp:posOffset>5899785</wp:posOffset>
                </wp:positionH>
                <wp:positionV relativeFrom="paragraph">
                  <wp:posOffset>-591820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6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2555" simplePos="0" locked="0" layoutInCell="0" allowOverlap="1" relativeHeight="35">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7">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v:textbox>
                <w10:wrap type="square"/>
              </v:rect>
            </w:pict>
          </mc:Fallback>
        </mc:AlternateContent>
        <w:drawing>
          <wp:anchor behindDoc="1" distT="0" distB="0" distL="0" distR="0" simplePos="0" locked="0" layoutInCell="1" allowOverlap="1" relativeHeight="39">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couramment utilisés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40">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v:textbox>
                <w10:wrap type="topAndBottom"/>
              </v:rect>
            </w:pict>
          </mc:Fallback>
        </mc:AlternateContent>
        <mc:AlternateContent>
          <mc:Choice Requires="wps">
            <w:drawing>
              <wp:anchor behindDoc="0" distT="5080" distB="5080" distL="5080" distR="5080" simplePos="0" locked="0" layoutInCell="1" allowOverlap="1" relativeHeight="42">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4">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remerciement particulier à ma fille Maëlys qui m’a accompagné et plus qu’assister sur la création de la vidéo de démonstration de faisabilité.</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4"/>
        <w:gridCol w:w="7723"/>
      </w:tblGrid>
      <w:tr>
        <w:trPr/>
        <w:tc>
          <w:tcPr>
            <w:tcW w:w="1914"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3"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sécurité des applications, fait référence aux mesures et procédures intégrées dans le cycle de développement logiciel (SDLC) pour protéger une application contre les menaces et vulnérabilités de sécurité. Elle 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La menace interne, ou menace "insider", est un risque particulier où ces personnes peuvent abuser de leur accès de manière malveillante.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4"/>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4"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Data (Loss|Leak)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4"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Canaux matériels DLP et hors DLP</w:t>
          <w:tab/>
          <w:t>7</w:t>
        </w:r>
      </w:hyperlink>
    </w:p>
    <w:p>
      <w:pPr>
        <w:pStyle w:val="Indexdesfigures1"/>
        <w:rPr/>
      </w:pPr>
      <w:hyperlink w:anchor="Figure!1|sequence">
        <w:r>
          <w:rPr>
            <w:rStyle w:val="Sautdindex"/>
          </w:rPr>
          <w:t>Figure 2 : Classification usuelle des méthodes d'exfiltration (selon Giani, 2006)</w:t>
          <w:tab/>
          <w:t>8</w:t>
        </w:r>
      </w:hyperlink>
    </w:p>
    <w:p>
      <w:pPr>
        <w:pStyle w:val="Indexdesfigures1"/>
        <w:rPr/>
      </w:pPr>
      <w:hyperlink w:anchor="Figure!2|sequence">
        <w:r>
          <w:rPr>
            <w:rStyle w:val="Sautdindex"/>
          </w:rPr>
          <w:t>Figure 3: Modèle général du canal caché « Covert channel » ( Carrara, 2016)</w:t>
          <w:tab/>
          <w:t>10</w:t>
        </w:r>
      </w:hyperlink>
    </w:p>
    <w:p>
      <w:pPr>
        <w:pStyle w:val="Indexdesfigures1"/>
        <w:rPr/>
      </w:pPr>
      <w:hyperlink w:anchor="Figure!3|sequence">
        <w:r>
          <w:rPr>
            <w:rStyle w:val="Sautdindex"/>
          </w:rPr>
          <w:t>Figure 4: Synthèse Acoustic and Light Covert Channel (Carrara, 2016)</w:t>
          <w:tab/>
          <w:t>11</w:t>
        </w:r>
      </w:hyperlink>
    </w:p>
    <w:p>
      <w:pPr>
        <w:pStyle w:val="Indexdesfigures1"/>
        <w:rPr/>
      </w:pPr>
      <w:hyperlink w:anchor="Figure!4|sequence">
        <w:r>
          <w:rPr>
            <w:rStyle w:val="Sautdindex"/>
          </w:rPr>
          <w:t>Figure 5: Modèles de masques (Assaad, 2019)</w:t>
          <w:tab/>
          <w:t>14</w:t>
        </w:r>
      </w:hyperlink>
    </w:p>
    <w:p>
      <w:pPr>
        <w:pStyle w:val="Indexdesfigures1"/>
        <w:rPr/>
      </w:pPr>
      <w:hyperlink w:anchor="Figure!5|sequence">
        <w:r>
          <w:rPr>
            <w:rStyle w:val="Sautdindex"/>
          </w:rPr>
          <w:t>Figure 6: Encodage et décodage d'un code QR (Tiwari, 2016)</w:t>
          <w:tab/>
          <w:t>14</w:t>
        </w:r>
      </w:hyperlink>
    </w:p>
    <w:p>
      <w:pPr>
        <w:pStyle w:val="Indexdesfigures1"/>
        <w:rPr/>
      </w:pPr>
      <w:hyperlink w:anchor="Figure!6|sequence">
        <w:r>
          <w:rPr>
            <w:rStyle w:val="Sautdindex"/>
          </w:rPr>
          <w:t>Figure 7: Structure d'un code QR (Tiwari, 2016)</w:t>
          <w:tab/>
          <w:t>15</w:t>
        </w:r>
      </w:hyperlink>
    </w:p>
    <w:p>
      <w:pPr>
        <w:pStyle w:val="Indexdesfigures1"/>
        <w:rPr/>
      </w:pPr>
      <w:hyperlink w:anchor="Figure!7|sequence">
        <w:r>
          <w:rPr>
            <w:rStyle w:val="Sautdindex"/>
          </w:rPr>
          <w:t>Figure 8: Aperçu des différentes versions de code QR (Tiwari,2016)</w:t>
          <w:tab/>
          <w:t>17</w:t>
        </w:r>
      </w:hyperlink>
    </w:p>
    <w:p>
      <w:pPr>
        <w:pStyle w:val="Indexdesfigures1"/>
        <w:rPr/>
      </w:pPr>
      <w:hyperlink w:anchor="Figure!8|sequence">
        <w:r>
          <w:rPr>
            <w:rStyle w:val="Sautdindex"/>
          </w:rPr>
          <w:t>Figure 9: Visuel des 5 types de code QRs</w:t>
          <w:tab/>
          <w:t>18</w:t>
        </w:r>
      </w:hyperlink>
    </w:p>
    <w:p>
      <w:pPr>
        <w:pStyle w:val="Indexdesfigures1"/>
        <w:rPr/>
      </w:pPr>
      <w:hyperlink w:anchor="Figure!9|sequence">
        <w:r>
          <w:rPr>
            <w:rStyle w:val="Sautdindex"/>
          </w:rPr>
          <w:t>Figure 10: Exemple de code QR « data » produit et structure des données encodées</w:t>
          <w:tab/>
          <w:t>24</w:t>
        </w:r>
      </w:hyperlink>
    </w:p>
    <w:p>
      <w:pPr>
        <w:pStyle w:val="Indexdesfigures1"/>
        <w:rPr/>
      </w:pPr>
      <w:hyperlink w:anchor="Figure!10|sequence">
        <w:r>
          <w:rPr>
            <w:rStyle w:val="Sautdindex"/>
          </w:rPr>
          <w:t>Figure 11: Exemple de code QR « ack » produit et structure des données encodées</w:t>
          <w:tab/>
          <w:t>25</w:t>
        </w:r>
      </w:hyperlink>
    </w:p>
    <w:p>
      <w:pPr>
        <w:pStyle w:val="Indexdesfigures1"/>
        <w:rPr/>
      </w:pPr>
      <w:hyperlink w:anchor="Figure!11|sequence">
        <w:r>
          <w:rPr>
            <w:rStyle w:val="Sautdindex"/>
          </w:rPr>
          <w:t>Figure 12: Diagramme de séquence du déroulement de l'exfiltration développée</w:t>
          <w:tab/>
          <w:t>26</w:t>
        </w:r>
      </w:hyperlink>
    </w:p>
    <w:p>
      <w:pPr>
        <w:pStyle w:val="Indexdesfigures1"/>
        <w:rPr/>
      </w:pPr>
      <w:hyperlink w:anchor="Figure!12|sequence">
        <w:r>
          <w:rPr>
            <w:rStyle w:val="Sautdindex"/>
          </w:rPr>
          <w:t>Figure 13: Exemple d'implémentation de contre mesure contre l'affichage de code QR</w:t>
          <w:tab/>
          <w:t>31</w:t>
        </w:r>
      </w:hyperlink>
      <w:r>
        <w:rPr>
          <w:rStyle w:val="Sautdindex"/>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Niveau de correction d'erreur et % de correction d'erreur</w:t>
          <w:tab/>
          <w:t>16</w:t>
        </w:r>
      </w:hyperlink>
    </w:p>
    <w:p>
      <w:pPr>
        <w:pStyle w:val="Indexdesfigures1"/>
        <w:rPr/>
      </w:pPr>
      <w:hyperlink w:anchor="Tableau!1|sequence">
        <w:r>
          <w:rPr>
            <w:rStyle w:val="Sautdindex"/>
          </w:rPr>
          <w:t>Tableau 2: Même information encodée dans les 4 niveaux de correction d'erreur. (admin, 2011)</w:t>
          <w:tab/>
          <w:t>16</w:t>
        </w:r>
      </w:hyperlink>
    </w:p>
    <w:p>
      <w:pPr>
        <w:pStyle w:val="Indexdesfigures1"/>
        <w:rPr/>
      </w:pPr>
      <w:hyperlink w:anchor="Tableau!2|sequence">
        <w:r>
          <w:rPr>
            <w:rStyle w:val="Sautdindex"/>
          </w:rPr>
          <w:t>Tableau 3: Capacité en datas de la version 40 du code QR en fonction du type de data et du niveau de correction d'erreur (Tiwari, 2016)</w:t>
          <w:tab/>
          <w:t>17</w:t>
        </w:r>
      </w:hyperlink>
    </w:p>
    <w:p>
      <w:pPr>
        <w:pStyle w:val="Indexdesfigures1"/>
        <w:rPr/>
      </w:pPr>
      <w:hyperlink w:anchor="Tableau!3|sequence">
        <w:r>
          <w:rPr>
            <w:rStyle w:val="Sautdindex"/>
          </w:rPr>
          <w:t>Tableau 4: Caractérisation du canal proposé selon la matrice de Carrara.</w:t>
          <w:tab/>
          <w:t>23</w:t>
        </w:r>
      </w:hyperlink>
    </w:p>
    <w:p>
      <w:pPr>
        <w:pStyle w:val="Indexdesfigures1"/>
        <w:rPr/>
      </w:pPr>
      <w:hyperlink w:anchor="Tableau!4|sequence">
        <w:r>
          <w:rPr>
            <w:rStyle w:val="Sautdindex"/>
          </w:rPr>
          <w:t>Tableau 5: Configurations matérielles et logicielles</w:t>
          <w:tab/>
          <w:t>23</w:t>
        </w:r>
      </w:hyperlink>
    </w:p>
    <w:p>
      <w:pPr>
        <w:pStyle w:val="Indexdesfigures1"/>
        <w:rPr/>
      </w:pPr>
      <w:hyperlink w:anchor="Tableau!5|sequence">
        <w:r>
          <w:rPr>
            <w:rStyle w:val="Sautdindex"/>
          </w:rPr>
          <w:t>Tableau 6: Débits moyen obtenus</w:t>
          <w:tab/>
          <w:t>28</w:t>
        </w:r>
      </w:hyperlink>
      <w:r>
        <w:rPr>
          <w:rStyle w:val="Sautdindex"/>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La protection des données d'entreprise est d'une importance capitale dans le contexte actuel de la digitalisation. Elle doit permettre de garantir la confidentialité, l'intégrité et la disponibilité des informations sensibles appartenant à l'entreprise, ainsi que la conformité 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Mais qu'en est-il si cette connectivité réseau n'était pas nécessaire pour opérer une exfiltration 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Imaginez un collaborateur en fin de mission ou mal-intentionné, un "insider</w:t>
      </w:r>
      <w:r>
        <w:rPr>
          <w:vertAlign w:val="superscript"/>
        </w:rPr>
        <w:t>*</w:t>
      </w:r>
      <w:r>
        <w:rPr/>
        <w:t>", qui cherche à exfiltrer des données sensibles, que ce soit du code informatique, des documents sensibles, ou d'autres informations de valeur. Ce collaborateur travaille à distance, en télé-travail, 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L'exfiltration de données se produit lorsqu'il y a une copie, un transfert ou une récupération non autorisés de données d'un serveur ou de l'ordinateur d'un individu (Rouse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L'exfiltration de données est une préoccupation majeure pour les organisations de nos jours. Selon une récente étude de McAfee, 61 % des professionnels de la sécurité ont fait face à une violation de données dans leur entreprise actuelle (Sheridan K., 2019).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intermédié,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label_and_number"/>
                            <w:bookmarkStart w:id="30"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29"/>
                            <w:r>
                              <w:rPr>
                                <w:color w:val="000000"/>
                              </w:rPr>
                              <w:t>: Modèle général du canal caché « Covert channel » ( Carrara, 2016)</w:t>
                            </w:r>
                            <w:bookmarkEnd w:id="30"/>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label_and_number"/>
                      <w:bookmarkStart w:id="32"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1"/>
                      <w:r>
                        <w:rPr>
                          <w:color w:val="000000"/>
                        </w:rPr>
                        <w:t>: Modèle général du canal caché « Covert channel » ( Carrara, 2016)</w:t>
                      </w:r>
                      <w:bookmarkEnd w:id="32"/>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caractéristiques et limitations pour le canal « acoustique » et le le canal « Lumière »</w:t>
      </w:r>
    </w:p>
    <w:p>
      <w:pPr>
        <w:pStyle w:val="Corpsdetexte"/>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wps:spPr>
                        <a:xfrm>
                          <a:off x="0" y="0"/>
                          <a:ext cx="6121440" cy="4641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4"/>
                            <w:r>
                              <w:rPr>
                                <w:color w:val="000000"/>
                              </w:rPr>
                              <w:t>: Synthèse Acoustic and Light Covert Channel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05pt;margin-top:0.05pt;width:481.95pt;height:365.4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6120130" cy="441833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5"/>
                      <w:r>
                        <w:rPr>
                          <w:color w:val="000000"/>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Commons Criteris, 2005)</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4"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31130" cy="2366645"/>
                <wp:effectExtent l="0" t="635" r="0" b="0"/>
                <wp:wrapSquare wrapText="largest"/>
                <wp:docPr id="15"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6"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7"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18"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19"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utilisée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0"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1"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 xml:space="preserve">L'augmentation des usages liés à cette technologie attire les cybercriminels qui remplacent des codes légitimes par des codes malveillants ( Marchand , 2020)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conteneur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dissimulons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d’exfiltration de données au moyen du conteneur code QR, j’ai mis en place une méthodologie pour construire un Proof-of-concept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paiements sont aujourd’hui un secteur hyper-concurrentiel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informations qui vont être exfiltrées.</w:t>
      </w:r>
    </w:p>
    <w:p>
      <w:pPr>
        <w:pStyle w:val="Normal"/>
        <w:rPr/>
      </w:pPr>
      <w:r>
        <w:rPr/>
      </w:r>
    </w:p>
    <w:p>
      <w:pPr>
        <w:pStyle w:val="Normal"/>
        <w:rPr/>
      </w:pPr>
      <w:r>
        <w:rPr/>
        <w:t>La méthode d’exfiltration doit être accessible à n’importe quel collaborateur qui dispose d’un environnement logiciel standard pour ce rôle : runtime python et IDE (ex PyCharm) pour exécuter le code développé. 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administré/non managé et dont je suis administrateur. Pour des raisons de commodités et d’expérimentation, j’utilise une webcam externe connectée par câble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2"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927350"/>
                                  <wp:effectExtent l="0" t="0" r="0" b="0"/>
                                  <wp:docPr id="2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92735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r>
        <w:rPr>
          <w:rStyle w:val="LienInternet"/>
          <w:strike w:val="false"/>
          <w:dstrike w:val="false"/>
          <w:sz w:val="24"/>
          <w:szCs w:val="24"/>
          <w:u w:val="none"/>
        </w:rPr>
        <w:t xml:space="preserve"> </w:t>
      </w:r>
    </w:p>
    <w:p>
      <w:pPr>
        <w:pStyle w:val="Corpsdetexte"/>
        <w:ind w:start="567" w:end="567" w:firstLine="567"/>
        <w:rPr>
          <w:rFonts w:ascii="Times New Roman" w:hAnsi="Times New Roman"/>
        </w:rPr>
      </w:pPr>
      <w:r>
        <w:rPr/>
        <w:t>Trois programmes utilisant le langage python constitue la solution permettant de démontrer qu'il est possible d'exfiltrer des données de toutes natures depuis un appareil source vers un appareil réceptrice sans utiliser la connectivité réseau en utilisant le conteneur code QR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49">
                <wp:simplePos x="0" y="0"/>
                <wp:positionH relativeFrom="column">
                  <wp:posOffset>635</wp:posOffset>
                </wp:positionH>
                <wp:positionV relativeFrom="line">
                  <wp:posOffset>635</wp:posOffset>
                </wp:positionV>
                <wp:extent cx="6119495" cy="2421890"/>
                <wp:effectExtent l="635" t="0" r="0" b="0"/>
                <wp:wrapTopAndBottom/>
                <wp:docPr id="23"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094230"/>
                                  <wp:effectExtent l="0" t="0" r="0" b="0"/>
                                  <wp:docPr id="2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09423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l’appareil  malveillant destinatrice des données.</w:t>
      </w:r>
    </w:p>
    <w:p>
      <w:pPr>
        <w:pStyle w:val="Corpsdetexte"/>
        <w:rPr>
          <w:rFonts w:ascii="Times New Roman" w:hAnsi="Times New Roman"/>
        </w:rPr>
      </w:pPr>
      <w:r>
        <w:rPr/>
        <w:t>L'index de la webcam de l’appareil «Entreprise»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l’appareil « MALVEILLANT » destinataire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l’appareil « Entreprise » Source et contenant les données à exfiltrer.</w:t>
      </w:r>
    </w:p>
    <w:p>
      <w:pPr>
        <w:pStyle w:val="Corpsdetexte"/>
        <w:rPr>
          <w:rFonts w:ascii="Times New Roman" w:hAnsi="Times New Roman"/>
        </w:rPr>
      </w:pPr>
      <w:r>
        <w:rPr/>
        <w:t xml:space="preserve"> </w:t>
      </w:r>
      <w:r>
        <w:rPr/>
        <w:t>L'index de la webcam de l’appareil « MALVEILLANT » récepteur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l’appareil « Entreprise »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Normal"/>
        <w:rPr/>
      </w:pPr>
      <w:r>
        <w:rPr/>
        <mc:AlternateContent>
          <mc:Choice Requires="wps">
            <w:drawing>
              <wp:anchor behindDoc="0" distT="0" distB="0" distL="0" distR="0" simplePos="0" locked="0" layoutInCell="0" allowOverlap="1" relativeHeight="28">
                <wp:simplePos x="0" y="0"/>
                <wp:positionH relativeFrom="column">
                  <wp:posOffset>-678815</wp:posOffset>
                </wp:positionH>
                <wp:positionV relativeFrom="paragraph">
                  <wp:posOffset>-144780</wp:posOffset>
                </wp:positionV>
                <wp:extent cx="7447915" cy="7210425"/>
                <wp:effectExtent l="0" t="0" r="0" b="0"/>
                <wp:wrapSquare wrapText="largest"/>
                <wp:docPr id="26" name="Cadre20"/>
                <a:graphic xmlns:a="http://schemas.openxmlformats.org/drawingml/2006/main">
                  <a:graphicData uri="http://schemas.microsoft.com/office/word/2010/wordprocessingShape">
                    <wps:wsp>
                      <wps:cNvSpPr/>
                      <wps:spPr>
                        <a:xfrm>
                          <a:off x="0" y="0"/>
                          <a:ext cx="7448040" cy="7210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2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r>
                          </w:p>
                          <w:p>
                            <w:pPr>
                              <w:pStyle w:val="Corpsdetexte"/>
                              <w:rPr/>
                            </w:pPr>
                            <w:r>
                              <w:rPr/>
                              <w:t xml:space="preserve">La vidéo de démonstration est disponible en suivant le lien ci-après : </w:t>
                            </w:r>
                            <w:hyperlink r:id="rId40">
                              <w:r>
                                <w:rPr>
                                  <w:rStyle w:val="LienInternet"/>
                                </w:rPr>
                                <w:t>https://youtu.be/-LtkA9NyXDE</w:t>
                              </w:r>
                            </w:hyperlink>
                            <w:r>
                              <w:rPr/>
                              <w:t xml:space="preserve"> ou en scannant le code QR suivant :</w:t>
                            </w:r>
                          </w:p>
                          <w:p>
                            <w:pPr>
                              <w:pStyle w:val="Corpsdetexte"/>
                              <w:spacing w:before="0" w:after="140"/>
                              <w:jc w:val="center"/>
                              <w:rPr/>
                            </w:pPr>
                            <w:r>
                              <w:rPr/>
                              <w:drawing>
                                <wp:inline distT="0" distB="0" distL="0" distR="0">
                                  <wp:extent cx="962660" cy="1083945"/>
                                  <wp:effectExtent l="0" t="0" r="0" b="0"/>
                                  <wp:docPr id="2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title=""/>
                                          <pic:cNvPicPr>
                                            <a:picLocks noChangeAspect="1" noChangeArrowheads="1"/>
                                          </pic:cNvPicPr>
                                        </pic:nvPicPr>
                                        <pic:blipFill>
                                          <a:blip r:embed="rId41"/>
                                          <a:stretch>
                                            <a:fillRect/>
                                          </a:stretch>
                                        </pic:blipFill>
                                        <pic:spPr bwMode="auto">
                                          <a:xfrm>
                                            <a:off x="0" y="0"/>
                                            <a:ext cx="962660" cy="1083945"/>
                                          </a:xfrm>
                                          <a:prstGeom prst="rect">
                                            <a:avLst/>
                                          </a:prstGeom>
                                        </pic:spPr>
                                      </pic:pic>
                                    </a:graphicData>
                                  </a:graphic>
                                </wp:inline>
                              </w:drawing>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53.45pt;margin-top:-11.4pt;width:586.4pt;height:567.7pt;mso-wrap-style:square;v-text-anchor:top">
                <v:fill o:detectmouseclick="t" type="solid" color2="black"/>
                <v:stroke color="#3465a4" joinstyle="round" endcap="flat"/>
                <v:textbo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3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title=""/>
                                    <pic:cNvPicPr>
                                      <a:picLocks noChangeAspect="1" noChangeArrowheads="1"/>
                                    </pic:cNvPicPr>
                                  </pic:nvPicPr>
                                  <pic:blipFill>
                                    <a:blip r:embed="rId42"/>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r>
                    </w:p>
                    <w:p>
                      <w:pPr>
                        <w:pStyle w:val="Corpsdetexte"/>
                        <w:rPr/>
                      </w:pPr>
                      <w:r>
                        <w:rPr/>
                        <w:t xml:space="preserve">La vidéo de démonstration est disponible en suivant le lien ci-après : </w:t>
                      </w:r>
                      <w:hyperlink r:id="rId43">
                        <w:r>
                          <w:rPr>
                            <w:rStyle w:val="LienInternet"/>
                          </w:rPr>
                          <w:t>https://youtu.be/-LtkA9NyXDE</w:t>
                        </w:r>
                      </w:hyperlink>
                      <w:r>
                        <w:rPr/>
                        <w:t xml:space="preserve"> ou en scannant le code QR suivant :</w:t>
                      </w:r>
                    </w:p>
                    <w:p>
                      <w:pPr>
                        <w:pStyle w:val="Corpsdetexte"/>
                        <w:spacing w:before="0" w:after="140"/>
                        <w:jc w:val="center"/>
                        <w:rPr/>
                      </w:pPr>
                      <w:r>
                        <w:rPr/>
                        <w:drawing>
                          <wp:inline distT="0" distB="0" distL="0" distR="0">
                            <wp:extent cx="962660" cy="1083945"/>
                            <wp:effectExtent l="0" t="0" r="0" b="0"/>
                            <wp:docPr id="3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title=""/>
                                    <pic:cNvPicPr>
                                      <a:picLocks noChangeAspect="1" noChangeArrowheads="1"/>
                                    </pic:cNvPicPr>
                                  </pic:nvPicPr>
                                  <pic:blipFill>
                                    <a:blip r:embed="rId44"/>
                                    <a:stretch>
                                      <a:fillRect/>
                                    </a:stretch>
                                  </pic:blipFill>
                                  <pic:spPr bwMode="auto">
                                    <a:xfrm>
                                      <a:off x="0" y="0"/>
                                      <a:ext cx="962660" cy="1083945"/>
                                    </a:xfrm>
                                    <a:prstGeom prst="rect">
                                      <a:avLst/>
                                    </a:prstGeom>
                                  </pic:spPr>
                                </pic:pic>
                              </a:graphicData>
                            </a:graphic>
                          </wp:inline>
                        </w:drawing>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de la norme Code QR.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27"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860290" cy="377507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45"/>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860290" cy="3775075"/>
                            <wp:effectExtent l="0" t="0" r="0" b="0"/>
                            <wp:docPr id="3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title=""/>
                                    <pic:cNvPicPr>
                                      <a:picLocks noChangeAspect="1" noChangeArrowheads="1"/>
                                    </pic:cNvPicPr>
                                  </pic:nvPicPr>
                                  <pic:blipFill>
                                    <a:blip r:embed="rId46"/>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 QR.</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Rouse M., (2013) « Data Exfiltration » sur   www.techopedia.com  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rStyle w:val="Sautdindex"/>
        </w:rPr>
        <w:instrText xml:space="preserve"> TOC \c "Annexe" \h </w:instrText>
      </w:r>
      <w:r>
        <w:rPr>
          <w:rStyle w:val="Sautdindex"/>
        </w:rPr>
        <w:fldChar w:fldCharType="separate"/>
      </w:r>
      <w:hyperlink w:anchor="Annexe!0|sequence">
        <w:r>
          <w:rPr>
            <w:rStyle w:val="Sautdindex"/>
          </w:rPr>
          <w:t>Annexe 1: Comparaison de 3 librairies code QR python sur la fonction création</w:t>
          <w:tab/>
          <w:t>34</w:t>
        </w:r>
      </w:hyperlink>
    </w:p>
    <w:p>
      <w:pPr>
        <w:pStyle w:val="Indexdesfigures1"/>
        <w:rPr/>
      </w:pPr>
      <w:hyperlink w:anchor="Annexe!1|sequence">
        <w:r>
          <w:rPr>
            <w:rStyle w:val="Sautdindex"/>
          </w:rPr>
          <w:t>Annexe 2: lien github contenant le code de la démonstration de faisabilité</w:t>
          <w:tab/>
          <w:t>35</w:t>
        </w:r>
      </w:hyperlink>
      <w:r>
        <w:rPr>
          <w:rStyle w:val="Sautdindex"/>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mc:AlternateContent>
          <mc:Choice Requires="wps">
            <w:drawing>
              <wp:inline distT="0" distB="0" distL="0" distR="0">
                <wp:extent cx="4550410" cy="4638675"/>
                <wp:effectExtent l="0" t="0" r="0" b="0"/>
                <wp:docPr id="28" name="Cadre22"/>
                <a:graphic xmlns:a="http://schemas.openxmlformats.org/drawingml/2006/main">
                  <a:graphicData uri="http://schemas.microsoft.com/office/word/2010/wordprocessingShape">
                    <wps:wsp>
                      <wps:cNvSpPr/>
                      <wps:spPr>
                        <a:xfrm>
                          <a:off x="0" y="0"/>
                          <a:ext cx="4550400" cy="4638600"/>
                        </a:xfrm>
                        <a:prstGeom prst="rect">
                          <a:avLst/>
                        </a:prstGeom>
                        <a:solidFill>
                          <a:srgbClr val="ffffff"/>
                        </a:solidFill>
                        <a:ln w="0">
                          <a:noFill/>
                        </a:ln>
                      </wps:spPr>
                      <wps:style>
                        <a:lnRef idx="0"/>
                        <a:fillRef idx="0"/>
                        <a:effectRef idx="0"/>
                        <a:fontRef idx="minor"/>
                      </wps:style>
                      <wps:txbx>
                        <w:txbxContent>
                          <w:p>
                            <w:pPr>
                              <w:pStyle w:val="Closing"/>
                              <w:spacing w:before="240" w:after="120"/>
                              <w:jc w:val="center"/>
                              <w:rPr/>
                            </w:pPr>
                            <w:r>
                              <w:rPr>
                                <w:color w:val="000000"/>
                              </w:rPr>
                              <w:drawing>
                                <wp:inline distT="0" distB="0" distL="0" distR="0">
                                  <wp:extent cx="4550410" cy="3866515"/>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47"/>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wps:txbx>
                      <wps:bodyPr lIns="0" rIns="0" tIns="0" bIns="0" anchor="t">
                        <a:noAutofit/>
                      </wps:bodyPr>
                    </wps:wsp>
                  </a:graphicData>
                </a:graphic>
              </wp:inline>
            </w:drawing>
          </mc:Choice>
          <mc:Fallback>
            <w:pict>
              <v:rect id="shape_0" ID="Cadre22" path="m0,0l-2147483645,0l-2147483645,-2147483646l0,-2147483646xe" fillcolor="white" stroked="f" o:allowincell="f" style="position:absolute;margin-left:0pt;margin-top:-365.3pt;width:358.25pt;height:365.2pt;mso-wrap-style:square;v-text-anchor:top;mso-position-vertical:top">
                <v:fill o:detectmouseclick="t" type="solid" color2="black"/>
                <v:stroke color="#3465a4" joinstyle="round" endcap="flat"/>
                <v:textbox>
                  <w:txbxContent>
                    <w:p>
                      <w:pPr>
                        <w:pStyle w:val="Closing"/>
                        <w:spacing w:before="240" w:after="120"/>
                        <w:jc w:val="center"/>
                        <w:rPr/>
                      </w:pPr>
                      <w:r>
                        <w:rPr>
                          <w:color w:val="000000"/>
                        </w:rPr>
                        <w:drawing>
                          <wp:inline distT="0" distB="0" distL="0" distR="0">
                            <wp:extent cx="4550410" cy="3866515"/>
                            <wp:effectExtent l="0" t="0" r="0" b="0"/>
                            <wp:docPr id="3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title=""/>
                                    <pic:cNvPicPr>
                                      <a:picLocks noChangeAspect="1" noChangeArrowheads="1"/>
                                    </pic:cNvPicPr>
                                  </pic:nvPicPr>
                                  <pic:blipFill>
                                    <a:blip r:embed="rId48"/>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v:textbox>
                <w10:wrap type="square"/>
              </v:rect>
            </w:pict>
          </mc:Fallback>
        </mc:AlternateContent>
      </w:r>
    </w:p>
    <w:p>
      <w:pPr>
        <w:pStyle w:val="Corpsdetexte"/>
        <w:rPr/>
      </w:pPr>
      <w:r>
        <w:rPr/>
      </w:r>
      <w:r>
        <w:br w:type="page"/>
      </w:r>
    </w:p>
    <w:p>
      <w:pPr>
        <w:pStyle w:val="Closing"/>
        <w:rPr/>
      </w:pPr>
      <w:r>
        <w:rPr/>
        <w:t xml:space="preserve">Annexe </w:t>
      </w:r>
      <w:r>
        <w:rPr/>
        <w:fldChar w:fldCharType="begin"/>
      </w:r>
      <w:r>
        <w:rPr/>
        <w:instrText xml:space="preserve"> SEQ Annexe \* ARABIC </w:instrText>
      </w:r>
      <w:r>
        <w:rPr/>
        <w:fldChar w:fldCharType="separate"/>
      </w:r>
      <w:r>
        <w:rPr/>
        <w:t>2</w:t>
      </w:r>
      <w:r>
        <w:rPr/>
        <w:fldChar w:fldCharType="end"/>
      </w:r>
      <w:r>
        <w:rPr/>
        <w:t>: 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9"/>
      <w:footerReference w:type="first" r:id="rId50"/>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37</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360"/>
        </w:tabs>
        <w:ind w:start="1080" w:hanging="360"/>
      </w:pPr>
      <w:rPr>
        <w:rFonts w:ascii="Symbol" w:hAnsi="Symbol" w:cs="Symbol" w:hint="default"/>
      </w:rPr>
    </w:lvl>
    <w:lvl w:ilvl="1">
      <w:start w:val="1"/>
      <w:numFmt w:val="bullet"/>
      <w:lvlText w:val="o"/>
      <w:lvlJc w:val="start"/>
      <w:pPr>
        <w:tabs>
          <w:tab w:val="num" w:pos="360"/>
        </w:tabs>
        <w:ind w:start="1800" w:hanging="360"/>
      </w:pPr>
      <w:rPr>
        <w:rFonts w:ascii="Courier New" w:hAnsi="Courier New" w:cs="Courier New" w:hint="default"/>
      </w:rPr>
    </w:lvl>
    <w:lvl w:ilvl="2">
      <w:start w:val="1"/>
      <w:numFmt w:val="bullet"/>
      <w:lvlText w:val=""/>
      <w:lvlJc w:val="start"/>
      <w:pPr>
        <w:tabs>
          <w:tab w:val="num" w:pos="360"/>
        </w:tabs>
        <w:ind w:start="2520" w:hanging="360"/>
      </w:pPr>
      <w:rPr>
        <w:rFonts w:ascii="Wingdings" w:hAnsi="Wingdings" w:cs="Wingdings" w:hint="default"/>
      </w:rPr>
    </w:lvl>
    <w:lvl w:ilvl="3">
      <w:start w:val="1"/>
      <w:numFmt w:val="bullet"/>
      <w:lvlText w:val=""/>
      <w:lvlJc w:val="start"/>
      <w:pPr>
        <w:tabs>
          <w:tab w:val="num" w:pos="360"/>
        </w:tabs>
        <w:ind w:start="3240" w:hanging="360"/>
      </w:pPr>
      <w:rPr>
        <w:rFonts w:ascii="Symbol" w:hAnsi="Symbol" w:cs="Symbol" w:hint="default"/>
      </w:rPr>
    </w:lvl>
    <w:lvl w:ilvl="4">
      <w:start w:val="1"/>
      <w:numFmt w:val="bullet"/>
      <w:lvlText w:val="o"/>
      <w:lvlJc w:val="start"/>
      <w:pPr>
        <w:tabs>
          <w:tab w:val="num" w:pos="360"/>
        </w:tabs>
        <w:ind w:start="3960" w:hanging="360"/>
      </w:pPr>
      <w:rPr>
        <w:rFonts w:ascii="Courier New" w:hAnsi="Courier New" w:cs="Courier New" w:hint="default"/>
      </w:rPr>
    </w:lvl>
    <w:lvl w:ilvl="5">
      <w:start w:val="1"/>
      <w:numFmt w:val="bullet"/>
      <w:lvlText w:val=""/>
      <w:lvlJc w:val="start"/>
      <w:pPr>
        <w:tabs>
          <w:tab w:val="num" w:pos="360"/>
        </w:tabs>
        <w:ind w:start="4680" w:hanging="360"/>
      </w:pPr>
      <w:rPr>
        <w:rFonts w:ascii="Wingdings" w:hAnsi="Wingdings" w:cs="Wingdings" w:hint="default"/>
      </w:rPr>
    </w:lvl>
    <w:lvl w:ilvl="6">
      <w:start w:val="1"/>
      <w:numFmt w:val="bullet"/>
      <w:lvlText w:val=""/>
      <w:lvlJc w:val="start"/>
      <w:pPr>
        <w:tabs>
          <w:tab w:val="num" w:pos="360"/>
        </w:tabs>
        <w:ind w:start="5400" w:hanging="360"/>
      </w:pPr>
      <w:rPr>
        <w:rFonts w:ascii="Symbol" w:hAnsi="Symbol" w:cs="Symbol" w:hint="default"/>
      </w:rPr>
    </w:lvl>
    <w:lvl w:ilvl="7">
      <w:start w:val="1"/>
      <w:numFmt w:val="bullet"/>
      <w:lvlText w:val="o"/>
      <w:lvlJc w:val="start"/>
      <w:pPr>
        <w:tabs>
          <w:tab w:val="num" w:pos="360"/>
        </w:tabs>
        <w:ind w:start="6120" w:hanging="360"/>
      </w:pPr>
      <w:rPr>
        <w:rFonts w:ascii="Courier New" w:hAnsi="Courier New" w:cs="Courier New" w:hint="default"/>
      </w:rPr>
    </w:lvl>
    <w:lvl w:ilvl="8">
      <w:start w:val="1"/>
      <w:numFmt w:val="bullet"/>
      <w:lvlText w:val=""/>
      <w:lvlJc w:val="start"/>
      <w:pPr>
        <w:tabs>
          <w:tab w:val="num" w:pos="360"/>
        </w:tabs>
        <w:ind w:start="684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hyperlink" Target="https://youtu.be/-LtkA9NyXDE" TargetMode="External"/><Relationship Id="rId41" Type="http://schemas.openxmlformats.org/officeDocument/2006/relationships/image" Target="media/image21.png"/><Relationship Id="rId42" Type="http://schemas.openxmlformats.org/officeDocument/2006/relationships/image" Target="media/image20.png"/><Relationship Id="rId43" Type="http://schemas.openxmlformats.org/officeDocument/2006/relationships/hyperlink" Target="https://youtu.be/-LtkA9NyXDE" TargetMode="External"/><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3.png"/><Relationship Id="rId49" Type="http://schemas.openxmlformats.org/officeDocument/2006/relationships/footer" Target="footer2.xml"/><Relationship Id="rId50" Type="http://schemas.openxmlformats.org/officeDocument/2006/relationships/footer" Target="footer3.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27415</TotalTime>
  <Application>LibreOffice/7.5.5.2$Linux_X86_64 LibreOffice_project/50$Build-2</Application>
  <AppVersion>15.0000</AppVersion>
  <Pages>45</Pages>
  <Words>11038</Words>
  <Characters>61681</Characters>
  <CharactersWithSpaces>72362</CharactersWithSpaces>
  <Paragraphs>540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2023-08-20T14:50:05Z</dcterms:modified>
  <cp:revision>154</cp:revision>
  <dc:subject/>
  <dc:title/>
</cp:coreProperties>
</file>

<file path=docProps/custom.xml><?xml version="1.0" encoding="utf-8"?>
<Properties xmlns="http://schemas.openxmlformats.org/officeDocument/2006/custom-properties" xmlns:vt="http://schemas.openxmlformats.org/officeDocument/2006/docPropsVTypes"/>
</file>